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December 18, 2024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7:02 PM</w:t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6"/>
          <w:szCs w:val="26"/>
          <w:rtl w:val="0"/>
        </w:rPr>
        <w:t xml:space="preserve">McCarthy, Dougherty, Farrell, Morrison, Madden, Campbell, Hickman, Super</w:t>
      </w:r>
      <w:r w:rsidDel="00000000" w:rsidR="00000000" w:rsidRPr="00000000">
        <w:rPr>
          <w:rFonts w:ascii="Nunito" w:cs="Nunito" w:eastAsia="Nunito" w:hAnsi="Nunito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October 22, 2024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-Dougherty, 2nd Cambell, All in Favor</w:t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Mary has all this years financials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Trainers have put in request for spring flight placements, Player asked to be moved up and the request was granted; U13G have request a new trainer; Futsal schedules have been given to the trainers; For Spring Mangold will be CIT with U9B; Finishing Training will correspond to GK Training in Spring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Varsity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-U15b EDP Tourney went 4-0 Tournament Champions; U19G Steel United 0-1-2; U19B Steel United 1-1-1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CESC Marketing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Great job to Robin for the CESC CALive All Stars Postings; she also attended the Steel United U19B Varsity Tournament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CESC and Cape Atlantic Live All Stars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-Players selected and plaques will be given out at CAL AD meeting in January</w:t>
      </w:r>
    </w:p>
    <w:p w:rsidR="00000000" w:rsidDel="00000000" w:rsidP="00000000" w:rsidRDefault="00000000" w:rsidRPr="00000000" w14:paraId="0000000E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Winter Training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Average of 20-25 players during first two sessions</w:t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Flight requests have been made; West Deptford Tourney U9B 2nd, U11B 1st, combined team 2nd.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Flight request have been made; Looking at different tournament for the spring</w:t>
      </w:r>
    </w:p>
    <w:p w:rsidR="00000000" w:rsidDel="00000000" w:rsidP="00000000" w:rsidRDefault="00000000" w:rsidRPr="00000000" w14:paraId="00000012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Backstop materials are in and the footings have been poured; Cameras have been order; order benches to be in for Spring’ lights need to be fixed; next phase for fields starting by spring</w:t>
      </w:r>
    </w:p>
    <w:p w:rsidR="00000000" w:rsidDel="00000000" w:rsidP="00000000" w:rsidRDefault="00000000" w:rsidRPr="00000000" w14:paraId="00000014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Meraki Creative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positive views and increase in followers on social media, media Day will be in Spring and looking at possible revamp of website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had a brief meeting with Granigan and Meredith; discussed increase in the ref pay need to talk to Penny; trying figure an easier and faster way for payment of refs at end of tournament; registration to open in Jan</w:t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Fields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8:01 PM -McCarthy. 2nd Morrison,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